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殡仪馆</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ascii="Times New Roman" w:hAnsi="Times New Roman" w:eastAsia="仿宋_GB2312" w:cs="Times New Roman"/>
          <w:color w:val="auto"/>
          <w:sz w:val="32"/>
          <w:szCs w:val="32"/>
          <w:highlight w:val="none"/>
        </w:rPr>
        <w:t>现将香河</w:t>
      </w:r>
      <w:r>
        <w:rPr>
          <w:rFonts w:hint="eastAsia" w:ascii="Times New Roman" w:hAnsi="Times New Roman" w:eastAsia="仿宋_GB2312" w:cs="Times New Roman"/>
          <w:color w:val="auto"/>
          <w:sz w:val="32"/>
          <w:szCs w:val="32"/>
          <w:highlight w:val="none"/>
          <w:lang w:val="en-US" w:eastAsia="zh-CN"/>
        </w:rPr>
        <w:t>县殡仪馆</w:t>
      </w:r>
      <w:r>
        <w:rPr>
          <w:rFonts w:ascii="Times New Roman" w:hAnsi="Times New Roman" w:eastAsia="仿宋_GB2312" w:cs="Times New Roman"/>
          <w:sz w:val="32"/>
          <w:szCs w:val="32"/>
        </w:rPr>
        <w:t>2022年单位预算公开如下：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autoSpaceDE w:val="0"/>
        <w:autoSpaceDN w:val="0"/>
        <w:adjustRightInd w:val="0"/>
        <w:spacing w:line="584" w:lineRule="exact"/>
        <w:ind w:firstLine="630" w:firstLineChars="196"/>
        <w:jc w:val="left"/>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b/>
          <w:sz w:val="32"/>
          <w:szCs w:val="32"/>
          <w:lang w:val="en-US" w:eastAsia="zh-CN"/>
        </w:rPr>
        <w:t>提供殡仪服务、殡葬礼仪服务、遗体处置服务、遗体火化、骨灰安葬安放服务、遗体安葬、丧葬用品服务。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香河县殡仪馆</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财政性资金零补助</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lang w:eastAsia="zh-CN"/>
        </w:rPr>
        <w:t>殡仪馆</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反映本单位当年全部收入。2022年预算收入</w:t>
      </w:r>
      <w:r>
        <w:rPr>
          <w:rFonts w:hint="eastAsia" w:ascii="Times New Roman" w:hAnsi="Times New Roman" w:eastAsia="仿宋_GB2312" w:cs="Times New Roman"/>
          <w:sz w:val="32"/>
          <w:szCs w:val="32"/>
        </w:rPr>
        <w:t>1134.77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1134.77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殡仪馆</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年度单位预算中支出预算的总体情况。2022年支出预算</w:t>
      </w:r>
      <w:r>
        <w:rPr>
          <w:rFonts w:hint="eastAsia" w:ascii="Times New Roman" w:hAnsi="Times New Roman" w:eastAsia="仿宋_GB2312" w:cs="Times New Roman"/>
          <w:sz w:val="32"/>
          <w:szCs w:val="32"/>
        </w:rPr>
        <w:t>1134.77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34.77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34.77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1100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1100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经费补助等。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rPr>
        <w:t>1134.77</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lang w:eastAsia="zh-CN"/>
        </w:rPr>
        <w:t>减少了</w:t>
      </w:r>
      <w:r>
        <w:rPr>
          <w:rFonts w:hint="eastAsia" w:ascii="Times New Roman" w:hAnsi="Times New Roman" w:eastAsia="仿宋_GB2312" w:cs="Times New Roman"/>
          <w:sz w:val="32"/>
          <w:szCs w:val="32"/>
          <w:lang w:val="en-US" w:eastAsia="zh-CN"/>
        </w:rPr>
        <w:t>106.6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减少了</w:t>
      </w:r>
      <w:r>
        <w:rPr>
          <w:rFonts w:hint="eastAsia" w:ascii="Times New Roman" w:hAnsi="Times New Roman" w:eastAsia="仿宋_GB2312" w:cs="Times New Roman"/>
          <w:sz w:val="32"/>
          <w:szCs w:val="32"/>
          <w:lang w:val="en-US" w:eastAsia="zh-CN"/>
        </w:rPr>
        <w:t>106.6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人员支出和经费补助</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1100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主要是我单位为自收自支事业单位，经费为公用经费和人员经费，公用经费</w:t>
      </w:r>
      <w:r>
        <w:rPr>
          <w:rFonts w:ascii="Times New Roman" w:hAnsi="Times New Roman" w:eastAsia="仿宋_GB2312" w:cs="Times New Roman"/>
          <w:sz w:val="32"/>
          <w:szCs w:val="32"/>
        </w:rPr>
        <w:t>用于</w:t>
      </w:r>
      <w:r>
        <w:rPr>
          <w:rFonts w:hint="eastAsia" w:ascii="Times New Roman" w:hAnsi="Times New Roman" w:eastAsia="仿宋_GB2312" w:cs="Times New Roman"/>
          <w:sz w:val="32"/>
          <w:szCs w:val="32"/>
          <w:lang w:eastAsia="zh-CN"/>
        </w:rPr>
        <w:t>殡仪馆</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color w:val="auto"/>
          <w:sz w:val="32"/>
          <w:szCs w:val="32"/>
        </w:rPr>
        <w:t>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我单位车辆全部为业务用车</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val="en-US" w:eastAsia="zh-CN"/>
        </w:rPr>
        <w:t>。</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val="en-US" w:eastAsia="zh-CN"/>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val="en-US" w:eastAsia="zh-CN"/>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val="en-US" w:eastAsia="zh-CN"/>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val="en-US" w:eastAsia="zh-CN"/>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val="en-US" w:eastAsia="zh-CN"/>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val="en-US" w:eastAsia="zh-CN"/>
        </w:rPr>
      </w:pP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spacing w:before="0" w:after="0"/>
        <w:ind w:firstLine="1024" w:firstLineChars="366"/>
        <w:jc w:val="left"/>
        <w:outlineLvl w:val="3"/>
      </w:pPr>
      <w:r>
        <w:rPr>
          <w:rFonts w:ascii="Times New Roman" w:hAnsi="Times New Roman" w:eastAsia="仿宋_GB2312" w:cs="Times New Roman"/>
          <w:sz w:val="28"/>
        </w:rPr>
        <w:t>1</w:t>
      </w:r>
      <w:bookmarkStart w:id="0" w:name="_Toc_4_4_0000000068"/>
      <w:r>
        <w:rPr>
          <w:rFonts w:ascii="方正仿宋_GBK" w:hAnsi="方正仿宋_GBK" w:eastAsia="方正仿宋_GBK" w:cs="方正仿宋_GBK"/>
          <w:color w:val="000000"/>
          <w:sz w:val="28"/>
        </w:rPr>
        <w:t>.经费补助绩效目标表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314011香河县殡仪馆</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13102422P00035110003N</w:t>
            </w:r>
          </w:p>
        </w:tc>
        <w:tc>
          <w:tcPr>
            <w:tcW w:w="1327" w:type="dxa"/>
            <w:vAlign w:val="center"/>
          </w:tcPr>
          <w:p>
            <w:pPr>
              <w:pStyle w:val="14"/>
            </w:pPr>
            <w:r>
              <w:t>项目名称</w:t>
            </w:r>
          </w:p>
        </w:tc>
        <w:tc>
          <w:tcPr>
            <w:tcW w:w="3981" w:type="dxa"/>
            <w:gridSpan w:val="3"/>
            <w:vAlign w:val="center"/>
          </w:tcPr>
          <w:p>
            <w:pPr>
              <w:pStyle w:val="15"/>
            </w:pPr>
            <w:r>
              <w:t>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1100.00</w:t>
            </w:r>
          </w:p>
        </w:tc>
        <w:tc>
          <w:tcPr>
            <w:tcW w:w="1327" w:type="dxa"/>
            <w:vAlign w:val="center"/>
          </w:tcPr>
          <w:p>
            <w:pPr>
              <w:pStyle w:val="14"/>
            </w:pPr>
            <w:r>
              <w:t>其中：财政    资金</w:t>
            </w:r>
          </w:p>
        </w:tc>
        <w:tc>
          <w:tcPr>
            <w:tcW w:w="1327" w:type="dxa"/>
            <w:vAlign w:val="center"/>
          </w:tcPr>
          <w:p>
            <w:pPr>
              <w:pStyle w:val="15"/>
            </w:pPr>
            <w:r>
              <w:t>1100.00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殡仪馆人员基本工资经费与商品和服务支出经费，设备购置与维护等。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25%</w:t>
            </w:r>
          </w:p>
        </w:tc>
        <w:tc>
          <w:tcPr>
            <w:tcW w:w="1327" w:type="dxa"/>
            <w:vAlign w:val="center"/>
          </w:tcPr>
          <w:p>
            <w:pPr>
              <w:pStyle w:val="16"/>
            </w:pPr>
            <w:r>
              <w:t>50%</w:t>
            </w:r>
          </w:p>
        </w:tc>
        <w:tc>
          <w:tcPr>
            <w:tcW w:w="1327" w:type="dxa"/>
            <w:vAlign w:val="center"/>
          </w:tcPr>
          <w:p>
            <w:pPr>
              <w:pStyle w:val="16"/>
            </w:pPr>
            <w:r>
              <w:t>75%</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殡仪馆人员经费、设备购置与维护、提升整体服务水平。为保证殡仪馆日常工作开展，提升殡仪馆整体服务水平，为广大群众办理火化业务提供优质服务等工作的正常运行，需要经费支持已保障顺利运行。确保殡仪馆日常工作正常开展。资金测算标准：人员经费400万元，日常公共运转经费800万元，合计1200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人数</w:t>
            </w:r>
          </w:p>
        </w:tc>
        <w:tc>
          <w:tcPr>
            <w:tcW w:w="2654" w:type="dxa"/>
            <w:vAlign w:val="center"/>
          </w:tcPr>
          <w:p>
            <w:pPr>
              <w:pStyle w:val="15"/>
            </w:pPr>
            <w:r>
              <w:t>人员经费发放人数</w:t>
            </w:r>
          </w:p>
        </w:tc>
        <w:tc>
          <w:tcPr>
            <w:tcW w:w="1327" w:type="dxa"/>
            <w:vAlign w:val="center"/>
          </w:tcPr>
          <w:p>
            <w:pPr>
              <w:pStyle w:val="15"/>
            </w:pPr>
            <w:r>
              <w:t>25人</w:t>
            </w:r>
          </w:p>
        </w:tc>
        <w:tc>
          <w:tcPr>
            <w:tcW w:w="1327" w:type="dxa"/>
            <w:vAlign w:val="center"/>
          </w:tcPr>
          <w:p>
            <w:pPr>
              <w:pStyle w:val="15"/>
            </w:pPr>
            <w:r>
              <w:t>当前在册人员数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人员经费到位率</w:t>
            </w:r>
          </w:p>
        </w:tc>
        <w:tc>
          <w:tcPr>
            <w:tcW w:w="2654" w:type="dxa"/>
            <w:vAlign w:val="center"/>
          </w:tcPr>
          <w:p>
            <w:pPr>
              <w:pStyle w:val="15"/>
            </w:pPr>
            <w:r>
              <w:t>按时按量将职工薪酬、福利等支付到个人</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年度工作任务</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月平均成本</w:t>
            </w:r>
          </w:p>
        </w:tc>
        <w:tc>
          <w:tcPr>
            <w:tcW w:w="2654" w:type="dxa"/>
            <w:vAlign w:val="center"/>
          </w:tcPr>
          <w:p>
            <w:pPr>
              <w:pStyle w:val="15"/>
            </w:pPr>
            <w:r>
              <w:t>平均每月运行成本</w:t>
            </w:r>
          </w:p>
        </w:tc>
        <w:tc>
          <w:tcPr>
            <w:tcW w:w="1327" w:type="dxa"/>
            <w:vAlign w:val="center"/>
          </w:tcPr>
          <w:p>
            <w:pPr>
              <w:pStyle w:val="15"/>
            </w:pPr>
            <w:r>
              <w:t>≤91.66万元/月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火化量</w:t>
            </w:r>
          </w:p>
        </w:tc>
        <w:tc>
          <w:tcPr>
            <w:tcW w:w="2654" w:type="dxa"/>
            <w:vAlign w:val="center"/>
          </w:tcPr>
          <w:p>
            <w:pPr>
              <w:pStyle w:val="15"/>
            </w:pPr>
            <w:r>
              <w:t>年度火化量</w:t>
            </w:r>
          </w:p>
        </w:tc>
        <w:tc>
          <w:tcPr>
            <w:tcW w:w="1327" w:type="dxa"/>
            <w:vAlign w:val="center"/>
          </w:tcPr>
          <w:p>
            <w:pPr>
              <w:pStyle w:val="15"/>
            </w:pPr>
            <w:r>
              <w:t>≥2500具</w:t>
            </w:r>
          </w:p>
        </w:tc>
        <w:tc>
          <w:tcPr>
            <w:tcW w:w="1327" w:type="dxa"/>
            <w:vAlign w:val="center"/>
          </w:tcPr>
          <w:p>
            <w:pPr>
              <w:pStyle w:val="15"/>
            </w:pPr>
            <w:r>
              <w:t>年度火化数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持续时间</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殡葬工作需求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社会满意度</w:t>
            </w:r>
          </w:p>
        </w:tc>
        <w:tc>
          <w:tcPr>
            <w:tcW w:w="2654" w:type="dxa"/>
            <w:vAlign w:val="center"/>
          </w:tcPr>
          <w:p>
            <w:pPr>
              <w:pStyle w:val="15"/>
            </w:pPr>
            <w:r>
              <w:t>为群众办理火化业务提供优质服务</w:t>
            </w:r>
          </w:p>
        </w:tc>
        <w:tc>
          <w:tcPr>
            <w:tcW w:w="1327" w:type="dxa"/>
            <w:vAlign w:val="center"/>
          </w:tcPr>
          <w:p>
            <w:pPr>
              <w:pStyle w:val="15"/>
            </w:pPr>
            <w:r>
              <w:t>≥95%</w:t>
            </w:r>
          </w:p>
        </w:tc>
        <w:tc>
          <w:tcPr>
            <w:tcW w:w="1327" w:type="dxa"/>
            <w:vAlign w:val="center"/>
          </w:tcPr>
          <w:p>
            <w:pPr>
              <w:pStyle w:val="15"/>
            </w:pPr>
            <w:r>
              <w:t>根据问卷调查</w:t>
            </w:r>
          </w:p>
        </w:tc>
      </w:tr>
    </w:tbl>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2022年，我单位安排政府采购预算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单位政府采购预算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Pr>
                <w:rFonts w:hint="eastAsia" w:ascii="方正小标宋_GBK" w:eastAsia="方正小标宋_GBK"/>
                <w:sz w:val="24"/>
              </w:rPr>
              <w:t>***</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殡仪馆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1719.943891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单位暂无</w:t>
      </w:r>
      <w:r>
        <w:rPr>
          <w:rFonts w:hint="eastAsia" w:ascii="Times New Roman" w:hAnsi="Times New Roman" w:eastAsia="仿宋_GB2312" w:cs="Times New Roman"/>
          <w:sz w:val="32"/>
          <w:szCs w:val="32"/>
        </w:rPr>
        <w:t>拟购置固定资产，</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lang w:eastAsia="zh-CN"/>
              </w:rPr>
              <w:t>殡仪馆</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1719.943891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1965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154.172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1965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154.172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247.84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1054.08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263.851891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bookmarkStart w:id="3" w:name="_GoBack"/>
      <w:bookmarkEnd w:id="3"/>
      <w:r>
        <w:rPr>
          <w:rFonts w:ascii="Times New Roman" w:hAnsi="Times New Roman" w:eastAsia="仿宋_GB2312" w:cs="Times New Roman"/>
          <w:sz w:val="32"/>
          <w:szCs w:val="32"/>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wNmQ2YzhkMDA3YTMwYmY4ZDMyYWEyZDZmNTE4OGYifQ=="/>
  </w:docVars>
  <w:rsids>
    <w:rsidRoot w:val="00D347CC"/>
    <w:rsid w:val="00007D86"/>
    <w:rsid w:val="001C1ECC"/>
    <w:rsid w:val="002C7716"/>
    <w:rsid w:val="004A34CA"/>
    <w:rsid w:val="004A54AA"/>
    <w:rsid w:val="004F2381"/>
    <w:rsid w:val="00660AC0"/>
    <w:rsid w:val="00741520"/>
    <w:rsid w:val="007C03A7"/>
    <w:rsid w:val="007D234F"/>
    <w:rsid w:val="00940421"/>
    <w:rsid w:val="009C0E60"/>
    <w:rsid w:val="009D6EC9"/>
    <w:rsid w:val="00A32D70"/>
    <w:rsid w:val="00A5751E"/>
    <w:rsid w:val="00AB1BD0"/>
    <w:rsid w:val="00B80935"/>
    <w:rsid w:val="00BD1ACE"/>
    <w:rsid w:val="00D347CC"/>
    <w:rsid w:val="00D77538"/>
    <w:rsid w:val="00DC702A"/>
    <w:rsid w:val="00EE67B1"/>
    <w:rsid w:val="00F85553"/>
    <w:rsid w:val="08067405"/>
    <w:rsid w:val="0B5F6DE2"/>
    <w:rsid w:val="0C411865"/>
    <w:rsid w:val="15301BC1"/>
    <w:rsid w:val="17677E69"/>
    <w:rsid w:val="17AC5942"/>
    <w:rsid w:val="1F371D2C"/>
    <w:rsid w:val="21CF1C81"/>
    <w:rsid w:val="3DD05DA6"/>
    <w:rsid w:val="3E967380"/>
    <w:rsid w:val="458129A7"/>
    <w:rsid w:val="4A2D61A5"/>
    <w:rsid w:val="59877D42"/>
    <w:rsid w:val="777A4144"/>
    <w:rsid w:val="7C4E1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0</TotalTime>
  <ScaleCrop>false</ScaleCrop>
  <LinksUpToDate>false</LinksUpToDate>
  <CharactersWithSpaces>2968</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WPS_1684835693</cp:lastModifiedBy>
  <cp:lastPrinted>2018-01-30T06:12:00Z</cp:lastPrinted>
  <dcterms:modified xsi:type="dcterms:W3CDTF">2023-08-16T03:16:29Z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2217ABBFD9524DE79D1E17B11B8CAB19</vt:lpwstr>
  </property>
</Properties>
</file>